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09 11 vom 27. April 2010</w:t>
      </w:r>
    </w:p>
    <w:p>
      <w:r>
        <w:t>VS Kantonsgericht, 2010-04-27, DE</w:t>
      </w:r>
    </w:p>
    <w:p>
      <w:r>
        <w:rPr>
          <w:b/>
        </w:rPr>
        <w:t xml:space="preserve">Quelle: </w:t>
      </w:r>
      <w:r>
        <w:t>https://mcp.opencaselaw.ch/entscheid/vs_gerichte_S2 09 11</w:t>
      </w:r>
    </w:p>
    <w:p>
      <w:r>
        <w:t>FR: VS_GERICHTE S2 09 11 du 27 avril 2010</w:t>
      </w:r>
    </w:p>
    <w:p>
      <w:r>
        <w:t>IT: VS_GERICHTE S2 09 11 del 27 aprile 2010</w:t>
      </w:r>
    </w:p>
    <w:p>
      <w:pPr>
        <w:pStyle w:val="Heading2"/>
      </w:pPr>
      <w:r>
        <w:t>Regeste</w:t>
      </w:r>
    </w:p>
    <w:p>
      <w:r>
        <w:t>RVJ / ZWR 2011 213 Berufliche Vorsorge Prévoyance professionnelle KGE (Sozialversicherungsrechtliche Abteilung) vom 27. April 2010 in Sachen A. c. B Austrittsleistung bei Scheidung – Gehört ein Ehegatte oder gehören beide Ehegatten einer Einrichtung der berufli- chen Vorsorge an und ist bei keinem Ehegatten ein Vorsorgefall eingetreten, so hat jeder Ehegatte Anspruch auf die Hälfte der nach dem Freizügigkeitsgesetz vom 17. Dezember 1993 für die Ehedauer zu ermittelnden Austrittsleistung des anderen Ehegatten (Art. 122 Abs. 1 ZGB). – Kompetenzaufteilung zwischen Scheidungsgericht und Berufsvorsorgegericht in Bezug auf den Vorsorgeausgleich im Scheidungsfall – Fall, wo die Differenz durch den geschiedenen Ehegatten als Schuldner zu beglei- chen ist. Ref. CH : Art. 122 ZGB, Art. 124 ZGB Ref. VS : Prestation de sortie en cas de divorce</w:t>
      </w:r>
    </w:p>
    <w:p>
      <w:pPr>
        <w:pStyle w:val="Heading2"/>
      </w:pPr>
      <w:r>
        <w:t>Erwägungen</w:t>
      </w:r>
    </w:p>
    <w:p>
      <w:r>
        <w:rPr>
          <w:b/>
        </w:rPr>
        <w:t>E. 1</w:t>
      </w:r>
    </w:p>
    <w:p>
      <w:r>
        <w:t>des Bundesgesetzes vom 25. Juni 1982 über die berufliche Alters-, Hin- terlassenen- und Invalidenvorsorge (BVG) zuständige Gericht durchzu- führen, nachdem ihm die Sache überwiesen worden ist. Dieses Gericht entscheidet als einzige kantonale Instanz. Im Kanton Wallis ist dies die Sozialversicherungsrechtliche Abteilung des Kantonsgerichtes. Das Berufsvorsorgegericht ist an den im Scheidungsurteil festge- legten Teilungsschlüssel gebunden und hat die Teilung bloss zu vollzie- hen (BGE 134 V 384 E. 1.1.2 mit Hinweisen).</w:t>
      </w:r>
    </w:p>
    <w:p>
      <w:r>
        <w:rPr>
          <w:b/>
        </w:rPr>
        <w:t>E. 2</w:t>
      </w:r>
    </w:p>
    <w:p>
      <w:r>
        <w:t>a) Gemäss Art. 122 Abs. 1 ZGB hat jeder Ehegatte Anspruch auf die Hälfte der nach dem FZG für die Ehedauer zu ermittelnden Austritts- leistung des anderen Ehegatten, sofern ein Ehegatte oder beide Ehegat- ten einer Einrichtung der beruflichen Vorsorge angehören und bei kei- nem Ehegatten ein Vorsorgefall eingetreten ist. Gemäss Absatz 2 des Art. 122 ZGB ist nur der Differenzbetrag zu teilen, falls den Ehegatten gegen- seitig Ansprüche zustehen. Das ZGB hält insofern nur die Prinzipien fest, wogegen die Berechnungsweise der Austrittsleistung durch das FZG bestimmt wird (Art. 15 ff. FZG; Geiser, Berufliche Vorsorge im neuen Scheidungsrecht, in: Hausheer, Vom alten zum neuen Scheidungsrecht, Bern 1999, S. 70 Nr. 2.31; Schneider/Bruchez, La prévoyance profession- nelle et le divorce, Ausgabe CEDIDAC 41, Lausanne 1999, S. 219). Laut Art. 22 Abs. 2 FZG entspricht die zu teilende Austrittsleistung eines Ehegatten der Differenz zwischen der Austrittsleistung zuzüglich allfälliger Freizügigkeitsguthaben im Zeitpunkt der Ehescheidung und der Austrittsleistung zuzüglich allfälliger Freizügigkeitsguthaben im Zeitpunkt der Eheschliessung (vgl. Art. 24 FZG). Die vor der Heirat akkumulierten und die nach der Scheidung anfallenden Vorsorgebe- standteile werden vom Ausgleich nicht erfasst. Für die Berechnung sind die Austrittsleistung und das Freizügigkeitsguthaben im Zeitpunkt der Eheschliessung auf den Zeitpunkt der Ehescheidung aufzuzinsen (Schneider/Bruchez, a.a.O., S. 224). Der Zinssatz, zu dem die im Zeit- punkt der Eheschliessung erworbenen Austritts- und Freizügigkeitslei- stungen für die Berechnung der aufzuteilenden Austrittsleistungen nach Art. 22 FZG aufgezinst werden, entspricht dem Mindestzinssatz gemäss Art. 12 der Verordnung über die berufliche Alters-, Hinterlasse- nen- und Invalidenvorsorge (BVV2) (Art. 26 Abs. 3 FZG). b) Anders verhält es sich bei Zuständigkeit des Scheidungsgerich- tes und Eintritt eines Vorsorgefalles vor Rechtskraft der Scheidung, wobei Vorsorgefälle im Zusammenhang mit der Scheidung nur Alter</w:t>
      </w:r>
    </w:p>
    <w:p>
      <w:r>
        <w:t>und Invalidität sein können. Der Vorsorgefall «Invalidität» ist eingetre- ten, wenn ein Ehegatte - weiter gehende reglementarische Bestimmun- gen vorbehalten - mindestens zu 40% dauernd erwerbsunfähig gewor- den ist oder während eines Jahres ohne wesentlichen Unterbruch min- destens zu 40% arbeitsunfähig war und von der Einrichtung der beruf- lichen Vorsorge eine Invalidenrente bezieht oder in Form einer Kapital- abfindung bezogen hat (BGE 134 V 28, 129 III 484 E. 3.2.2). Für die Annahme eines Vorsorgefalles genügt blosse Teilinvalidität (BGE 134 V 384 E. 1.2 mit Hinweisen). Der massgebende Zeitpunkt für den Ent- scheid darüber, ob bei einem oder bei beiden Ehegatten ein Vorsorge- fall eingetreten ist oder die Austrittsleistungen aus anderen Gründen nicht geteilt werden können, ist der Eintritt der Rechtskraft des Urteils über die Scheidung (BGE 134 V 384 E. 1.2). Gemäss Art. 124 ZGB ist, sofern bei einem oder bei beiden Ehe- gatten ein Vorsorgefall bereits eingetreten ist oder wenn aus andern Gründen Ansprüche aus der beruflichen Vorsorge nicht geteilt wer- den, eine angemessene Entschädigung geschuldet. Wird einem Ehe- gatten nach Art. 124 ZGB eine angemessene Entschädigung zuge- sprochen, so kann im Scheidungsurteil bestimmt werden, dass ein Teil der Austrittsleistung auf Anrechnung an die angemessene Ent- schädigung übertragen wird (Art. 22b Abs. 1 FZG). Diese Zahlungs- form setzt aber voraus, dass noch eine (teilbare) Austrittsleistung vorhanden ist und dass die Zusprechung einer Rente oder eines Kapitals wegen eingeschränkter finanzieller Verhältnisse des pflich- tigen Ehegatten nicht in Betracht fällt. c) Gemäss BGE 134 V 384 ist das zuständige Vorsorgegericht zum Vollzug der hälftigen Teilung auch dann verpflichtet, wenn das Schei- dungsgericht in Kenntnis des Eintritts eines Vorsorgefalles die hälftige Teilung des Austrittsleistung gestützt auf Art. 122 ZGB anordnet, das Scheidungsurteil in diesem Punkt in Rechtskraft erwachsen ist und die Voraussetzungen für die Übertragung eines Teils der Austrittsleistun- gen auf Anrechnung an die angemessene Entschädigung nach Art. 22b FZG erfüllt sind. Damit werde, abgesehen von der Rechtskraft des Scheidungsurteils, der übereinstimmende klare Wille der Parteien berücksichtigt. Im Übrigen sei die Ausfällung eines Nichteintretens- entscheides durch das Vorsorgegericht sowie die Überweisung der Sache zur Festsetzung einer angemessenen Entschädigung nach Art. 124 ZBG zwar theoretisch möglich, jedoch sei es fraglich, ob ein sol- ches scheidungsgerichtliches Urteil mit Bezug auf den Vorsorgeaus- gleich nach Art. 122 ff. und Art. 141 f. ZGB in Revision gezogen werden 216 RVJ / ZWR 2011</w:t>
      </w:r>
    </w:p>
    <w:p>
      <w:r>
        <w:t>RVJ / ZWR 2011 217 könne, da der Bezug einer Invalidenrente der beruflichen Vorsorge den Parteien und dem Scheidungsgericht nicht unbekannt war. Schliesslich sei auch zweifelhaft, ob die Regelung des Vorsorgeaus- gleichs nach Art. 124 ZGB zum Gegenstand eines Nachverfahrens gemacht werden könne. d) In BGE 135 V 324 anerkannte das BGer weiter, dass die Vorsor- geeinrichtung, wenn der geschiedene Ehegatte als Schuldner der Ausgleichsforderung im Sinne von Art. 122 ZGB einen Vorbezug getä- tigt habe und sein Guthaben bei der Vorsorge- oder Freizügigkeits- einrichtung deshalb nicht mehr ausreiche (wobei die Teilung der Austrittsleistung theoretisch zwar möglich und durchführbar sei), nur zur Übertragung der bei ihr noch vorhandenen Mittel verpflich- tet werden könne, um die Ausgleichsforderung zu bedienen. Die Dif- ferenz sei durch den geschiedenen Ehegatten als Schuldner zu begleichen.</w:t>
      </w:r>
    </w:p>
    <w:p>
      <w:r>
        <w:rPr>
          <w:b/>
        </w:rPr>
        <w:t>E. 3</w:t>
      </w:r>
    </w:p>
    <w:p>
      <w:r>
        <w:t>Juni 2008 in Rechtskraft. Aus berufsvorsorgerechtlicher Sicht steht fest, dass B. während der Ehe bei der Y. berufsvorsorgerechtlich versichert war. Die Aus-</w:t>
      </w:r>
    </w:p>
    <w:p>
      <w:r>
        <w:t>trittsleistung im Zeitpunkt der Heirat ist nicht bekannt. Vorbezüge wur- den keine getätigt. Hingegen trat ein Vorsorgefall ein, aufgrund dessen er ab Februar 2000 Anspruch auf eine ganze IV-Rente hatte. Da die SUVA- bzw. IV-Leistungen vorerst 90% des Lohnausfall deckten, kam es erst ab dem 1. April 2008 zu einer Rentenzahlung durch die Y.. In der Folge legte die Y. mehrmals dar, dass eine Teilung sowie eine Überwei- sung eines Betrages nicht mehr möglich seien. Rein rechnerisch betrug die Austrittsleistung per 3. Juni 2008 Fr. 150’040.80 (Schreiben der Y. vom 5. März 2009). A. ist bei der Z. angeschlossen. Sie hatte per 3. Juni 2008 eine Frei- zügigkeitsleistung von Fr. 9’256.50 geäufnet. Eine Austrittsleistung bei der Heirat ist nicht bekannt. Bei der Ehegattin ist weder ein Vorsorge- fall eingetreten noch eine Leistung für Wohneigentumsförderung bezo- gen worden. b) Der Zivilrichter hat im Scheidungsurteil vom 10. Oktober 2007 das hälftige Teilungsverhältnis der Austrittsleistung des Ehegatten festgelegt. Gemäss der vorstehend zitierten Rechtsprechung hat das Vorsorgegericht trotz des Eintritts des Vorsorgefalles die vom Schei- dungsgericht angeordnete hälftige Teilung der Austrittsleistung der beruflichen Vorsorge zu vollstrecken, zumal die Überweisung der Hälfte der Austrittsleistungen des Ehegatten bei der Y. auf das Freizü- gigkeitskonto der Ehegattin dem übereinstimmenden klaren Willen der Parteien im Scheidungsverfahren entspricht. Dieser wurde durch den Rückzug der eingereichten Berufung gegen das Scheidungsurteil noch bekräftigt, da die Parteien, obwohl zu diesem Zeitpunkt bekannt war, dass die Y. eine Rentenzahlung erbringen würde und damit der Vorsor- gefall eingetreten war, eine Regelung der Austrittsleistung nach Art. 122 ZGB gemäss Scheidungsurteil akzeptierten. Mithin einigten sich die Parteien auf eine hälftige Teilung der während der Ehedauer angespar- ten Austrittsleistungen der beruflichen Vorsorge und erklärten sich damit einverstanden. Nebst dem übereinstimmenden Willen der Parteien fällt weiter ins Gewicht, dass das Scheidungsurteil vom 10. Oktober 2007 mit dem Rückzug der Berufung in Rechtskraft erwuchs und somit für das Berufsvorsorgegericht verbindlich wurde. Daran ändert nichts, dass das Scheidungsgericht den Vorsorgeausgleich zu Unrecht in Anwen- dung von Art. 122 ZGB und Art. 22 FZG und nicht gestützt auf Art. 124 ZGB geregelt hat. Dessen ungeachtet, werden bei der Regelung des Vorsorgeausgleichs - ob nach Art. 122 ZGB oder im Rahmen von 218 RVJ / ZWR 2011</w:t>
      </w:r>
    </w:p>
    <w:p>
      <w:r>
        <w:t>RVJ / ZWR 2011 219 Art. 124 ZGB - die Vermögensverhältnisse nach der güterrechtlichen Auseinandersetzung sowie die sonstige wirtschaftliche Lage der Par- teien nach der Scheidung berücksichtigt. Schliesslich kann im vorliegenden Fall das Gericht auch keinen Nichteintretensentscheid fällen und die Sache an die Vorinstanz zur Festsetzung einer angemessenen Entschädigung nach Art. 124 ZGB überweisen, da die Tatsache des Bezugs einer Invalidenrente der beruf- lichen Vorsorge durch den Ehemann den Parteien vor Rechtskraft des Scheidungsurteils bekannt war und das Scheidungsgericht um den Anspruch des Ehegatten auf eine Invalidenrente ebenfalls wusste. Sodann vertritt die Vorinstanz selber wohl in Übereinstimmung mit dem Bundesgericht den Standpunkt, dass ein Nachverfahren nicht möglich sei. Es spricht daher nichts gegen den Vollzug der vom Schei- dungsgerichts an sich unrichtig gestützt auf Art. 122 ZGB angeordne- ten hälftigen Teilung der Austrittsleistung durch das zuständige Kan- tonsgericht als Vorsorgegericht. c) Gemäss Mitteilung der Y. hatte B. per 3. Juni 2008 an sich ein Guthaben von Fr. 150’040.80 geäufnet. Das während der Ehe ange- sparte Guthaben von A. umfasst eine Freizügigkeitsleistung von Fr. 9’256.50. Da vorliegend den Ehegatten gegenseitig Ansprüche zustehen, ist nur der Differenzbetrag zu teilen. Nach Rechtskraft des vorliegenden Urteils ist daher grundsätzlich der Betrag von Fr. 70’392.15 (Fr. 150’040.80 - 9’256.50 / 2) vom Konto von B. bei der Pensionskasse der Y. auf das Freizügigkeitskonto von A. bei der Z. zu überweisen. Vorliegend bezieht B. eine BVG-Invalidenrente, womit die Gut- haben bei seiner Vorsorgeeinrichtung nicht ausreichen, um die sei- ner früheren Ehefrau vom Bezirks- bzw. Kantonsgericht zugespro- chene Ausgleichsforderung gemäss Artikel 122 ZGB zu decken. Dies hat die Y. in mehreren Schreiben bestätigt. Eine Auszahlung ihrer- seits ist nicht mehr möglich. Es stellt sich deshalb die Frage, wie die Schuld beglichen werden muss. Entsprechend BGE 135 V 324 drängt sich auf, die Überweisung der Ausgleichsforderung an die frühere Ehefrau zu Lasten der Vorsorgeeinrichtung des Ehegatten nur inner- halb der tatsächlich verfügbaren Mittel anzuordnen. Darüber hinaus muss der Ehegatte, der durch den höheren Rentenbezug begünstigt wird, persönlich für den restlichen geschuldeten Betrag aufkommen, der an die Freizügigkeitseinrichtung der Ehegattin zu überweisen ist. In casu bedeutet dies, da eine Auszahlung seitens der Y. überhaupt nicht mehr möglich ist, dass B. den gesamten geschuldeten Betrag</w:t>
      </w:r>
    </w:p>
    <w:p>
      <w:r>
        <w:t>zu überweisen hat. Demnach hat B. nach Rechtskraft des vorliegen- den Urteils den Betrag von Fr. 70’392.15 auf das Konto von A. bei Z. zu überweisen. d) Ab dem 31. Tag nach Eintritt der Rechtskraft des vorliegenden Urteils wäre ein Verzugszins von 3% (Art. 7 FZV in Verbindung mit Art. 12 BVV2) zu bezahlen. 220 RVJ / ZWR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